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72" w:rsidRPr="00B123A3" w:rsidRDefault="00C22B72" w:rsidP="00A8567C">
      <w:pPr>
        <w:suppressAutoHyphens w:val="0"/>
        <w:jc w:val="center"/>
        <w:rPr>
          <w:iCs/>
          <w:lang w:val="lt-LT"/>
        </w:rPr>
      </w:pPr>
    </w:p>
    <w:p w:rsidR="000155E1" w:rsidRPr="00B123A3" w:rsidRDefault="000155E1" w:rsidP="000155E1">
      <w:pPr>
        <w:jc w:val="center"/>
        <w:rPr>
          <w:b/>
          <w:lang w:val="lt-LT"/>
        </w:rPr>
      </w:pPr>
      <w:r w:rsidRPr="00B123A3">
        <w:rPr>
          <w:b/>
          <w:lang w:val="lt-LT"/>
        </w:rPr>
        <w:t>Ežerų ir tvenkinių ekologinė ir cheminė būklė</w:t>
      </w: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0155E1">
      <w:pPr>
        <w:rPr>
          <w:lang w:val="lt-LT"/>
        </w:rPr>
      </w:pPr>
      <w:r w:rsidRPr="00B123A3">
        <w:rPr>
          <w:noProof/>
          <w:lang w:val="lt-LT" w:eastAsia="lt-LT"/>
        </w:rPr>
        <w:drawing>
          <wp:inline distT="0" distB="0" distL="0" distR="0" wp14:anchorId="2A494412" wp14:editId="57C53FED">
            <wp:extent cx="4572000" cy="2743200"/>
            <wp:effectExtent l="0" t="0" r="19050" b="19050"/>
            <wp:docPr id="38" name="Diagrama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55E1" w:rsidRPr="00B123A3" w:rsidRDefault="00AB1838" w:rsidP="000155E1">
      <w:pPr>
        <w:rPr>
          <w:b/>
          <w:lang w:val="lt-LT"/>
        </w:rPr>
      </w:pPr>
      <w:r>
        <w:rPr>
          <w:b/>
          <w:lang w:val="lt-LT"/>
        </w:rPr>
        <w:t>1</w:t>
      </w:r>
      <w:r w:rsidR="000155E1" w:rsidRPr="00B123A3">
        <w:rPr>
          <w:b/>
          <w:lang w:val="lt-LT"/>
        </w:rPr>
        <w:t>. pav.</w:t>
      </w:r>
      <w:r w:rsidR="000155E1" w:rsidRPr="00B123A3">
        <w:rPr>
          <w:lang w:val="lt-LT"/>
        </w:rPr>
        <w:t xml:space="preserve"> Ežerų kategorijos vandens telkinių ekologinė būklė</w:t>
      </w:r>
    </w:p>
    <w:p w:rsidR="000155E1" w:rsidRPr="00B123A3" w:rsidRDefault="000155E1" w:rsidP="000155E1">
      <w:pPr>
        <w:rPr>
          <w:lang w:val="lt-LT"/>
        </w:rPr>
      </w:pPr>
      <w:r w:rsidRPr="00B123A3">
        <w:rPr>
          <w:i/>
          <w:lang w:val="lt-LT"/>
        </w:rPr>
        <w:t>Duomenų šaltinis</w:t>
      </w:r>
      <w:r w:rsidRPr="00B123A3">
        <w:rPr>
          <w:lang w:val="lt-LT"/>
        </w:rPr>
        <w:t>: Aplinkos apsaugos agentūra</w:t>
      </w:r>
    </w:p>
    <w:p w:rsidR="000155E1" w:rsidRPr="00B123A3" w:rsidRDefault="000155E1" w:rsidP="000155E1">
      <w:pPr>
        <w:rPr>
          <w:lang w:val="lt-LT"/>
        </w:rPr>
      </w:pPr>
    </w:p>
    <w:p w:rsidR="000155E1" w:rsidRPr="00B123A3" w:rsidRDefault="000155E1" w:rsidP="000155E1">
      <w:pPr>
        <w:jc w:val="both"/>
        <w:rPr>
          <w:lang w:val="lt-LT"/>
        </w:rPr>
      </w:pPr>
      <w:r w:rsidRPr="00B123A3">
        <w:rPr>
          <w:lang w:val="lt-LT"/>
        </w:rPr>
        <w:t xml:space="preserve">Lietuvoje išskirti 357 ežerų kategorijos vandens telkiniai, iš kurių </w:t>
      </w:r>
      <w:r w:rsidR="00917D8E" w:rsidRPr="00B123A3">
        <w:rPr>
          <w:lang w:val="lt-LT"/>
        </w:rPr>
        <w:t>2</w:t>
      </w:r>
      <w:r w:rsidR="00917D8E">
        <w:rPr>
          <w:lang w:val="lt-LT"/>
        </w:rPr>
        <w:t>89</w:t>
      </w:r>
      <w:r w:rsidR="00917D8E" w:rsidRPr="00B123A3">
        <w:rPr>
          <w:lang w:val="lt-LT"/>
        </w:rPr>
        <w:t xml:space="preserve"> </w:t>
      </w:r>
      <w:r w:rsidRPr="00B123A3">
        <w:rPr>
          <w:lang w:val="lt-LT"/>
        </w:rPr>
        <w:t>yra natūralūs ežerai, 2 labai pakeisti ežerai (Rėkyva ir Biržulis), 65 tvenkiniai ir 1 karjeras (Lampėdis).</w:t>
      </w:r>
    </w:p>
    <w:p w:rsidR="000155E1" w:rsidRPr="00B123A3" w:rsidRDefault="000155E1" w:rsidP="000155E1">
      <w:pPr>
        <w:jc w:val="both"/>
        <w:rPr>
          <w:lang w:val="lt-LT"/>
        </w:rPr>
      </w:pPr>
      <w:r w:rsidRPr="00B123A3">
        <w:rPr>
          <w:lang w:val="lt-LT"/>
        </w:rPr>
        <w:t>Pagal 2010-2013 metais vykdyto valstybinio monitoringo duomenis ir modeliavimo (telkiniams, kuriuose monitoringas nebuvo vykdytas) rezultatus įvertinta ežerų kategorijos vandens telkinių ekologinė būklė: 21 vandens telkiniuose nustatyta labai gera (6 proc.), 192 – gera (54 proc.), 94 – vidutinė (26 proc.), 41 – bloga (11 proc.) ir 9 – labai bloga ekologinė būklė (3 proc.).</w:t>
      </w:r>
    </w:p>
    <w:p w:rsidR="000155E1" w:rsidRPr="00B123A3" w:rsidRDefault="000155E1" w:rsidP="000155E1">
      <w:pPr>
        <w:jc w:val="both"/>
        <w:rPr>
          <w:lang w:val="lt-LT"/>
        </w:rPr>
      </w:pPr>
      <w:r w:rsidRPr="00B123A3">
        <w:rPr>
          <w:lang w:val="lt-LT"/>
        </w:rPr>
        <w:t xml:space="preserve">Daugiausia labai geros ir geros ekologinės būklės ežerų bei tvenkinių yra Žeimenos, Šventosios, Dauguvos </w:t>
      </w:r>
      <w:proofErr w:type="spellStart"/>
      <w:r w:rsidRPr="00B123A3">
        <w:rPr>
          <w:lang w:val="lt-LT"/>
        </w:rPr>
        <w:t>pabaseiniuose</w:t>
      </w:r>
      <w:proofErr w:type="spellEnd"/>
      <w:r w:rsidRPr="00B123A3">
        <w:rPr>
          <w:lang w:val="lt-LT"/>
        </w:rPr>
        <w:t xml:space="preserve">. Ventos, Mūšos, Šešupės, Nemuno mažųjų intakų </w:t>
      </w:r>
      <w:proofErr w:type="spellStart"/>
      <w:r w:rsidRPr="00B123A3">
        <w:rPr>
          <w:lang w:val="lt-LT"/>
        </w:rPr>
        <w:t>pabaseiniuose</w:t>
      </w:r>
      <w:proofErr w:type="spellEnd"/>
      <w:r w:rsidRPr="00B123A3">
        <w:rPr>
          <w:lang w:val="lt-LT"/>
        </w:rPr>
        <w:t xml:space="preserve"> daugiau kaip pusė ežerų ir tvenkinių neatitinka geros ekologinės būklės reikalavimų.</w:t>
      </w:r>
    </w:p>
    <w:p w:rsidR="000155E1" w:rsidRPr="00B123A3" w:rsidRDefault="000155E1" w:rsidP="000155E1">
      <w:pPr>
        <w:jc w:val="both"/>
        <w:rPr>
          <w:lang w:val="lt-LT"/>
        </w:rPr>
      </w:pPr>
    </w:p>
    <w:p w:rsidR="000155E1" w:rsidRPr="00B123A3" w:rsidRDefault="000155E1" w:rsidP="000155E1">
      <w:pPr>
        <w:jc w:val="both"/>
        <w:rPr>
          <w:lang w:val="lt-LT"/>
        </w:rPr>
      </w:pPr>
      <w:r w:rsidRPr="00B123A3">
        <w:rPr>
          <w:lang w:val="lt-LT"/>
        </w:rPr>
        <w:t>2010-2013 m. pavojingos medžiagos tirtos Kauno mariose.</w:t>
      </w:r>
      <w:r w:rsidRPr="00B123A3">
        <w:rPr>
          <w:rFonts w:eastAsia="Calibri"/>
          <w:lang w:val="lt-LT"/>
        </w:rPr>
        <w:t xml:space="preserve"> Buvo tirtos šios medžiagos ir medžiagų grupės: sunkieji metalai, lakieji organiniai junginiai, policikliniai aromatiniai angliavandeniliai, pesticidai, </w:t>
      </w:r>
      <w:proofErr w:type="spellStart"/>
      <w:r w:rsidRPr="00B123A3">
        <w:rPr>
          <w:rFonts w:eastAsia="Calibri"/>
          <w:lang w:val="lt-LT"/>
        </w:rPr>
        <w:t>fenoliai</w:t>
      </w:r>
      <w:proofErr w:type="spellEnd"/>
      <w:r w:rsidRPr="00B123A3">
        <w:rPr>
          <w:rFonts w:eastAsia="Calibri"/>
          <w:lang w:val="lt-LT"/>
        </w:rPr>
        <w:t xml:space="preserve">, </w:t>
      </w:r>
      <w:proofErr w:type="spellStart"/>
      <w:r w:rsidRPr="00B123A3">
        <w:rPr>
          <w:rFonts w:eastAsia="Calibri"/>
          <w:lang w:val="lt-LT"/>
        </w:rPr>
        <w:t>ftalatai</w:t>
      </w:r>
      <w:proofErr w:type="spellEnd"/>
      <w:r w:rsidRPr="00B123A3">
        <w:rPr>
          <w:rFonts w:eastAsia="Calibri"/>
          <w:lang w:val="lt-LT"/>
        </w:rPr>
        <w:t xml:space="preserve"> ir alavo organiniai junginiai. Kauno mariose</w:t>
      </w:r>
      <w:r w:rsidRPr="00B123A3">
        <w:rPr>
          <w:lang w:val="lt-LT"/>
        </w:rPr>
        <w:t xml:space="preserve"> 2013 m. buvo viršytas pesticido DDT vidutinis metų aplinkos kokybės standartas, todėl vandens telkinys neatitiko geros cheminės būklės kriterijų. </w:t>
      </w:r>
    </w:p>
    <w:p w:rsidR="000155E1" w:rsidRPr="00B123A3" w:rsidRDefault="000155E1" w:rsidP="000155E1">
      <w:pPr>
        <w:rPr>
          <w:lang w:val="lt-LT"/>
        </w:rPr>
      </w:pPr>
    </w:p>
    <w:p w:rsidR="000155E1" w:rsidRPr="00B123A3" w:rsidRDefault="000155E1" w:rsidP="000155E1">
      <w:pPr>
        <w:rPr>
          <w:lang w:val="lt-LT"/>
        </w:rPr>
      </w:pPr>
      <w:r w:rsidRPr="00B123A3">
        <w:rPr>
          <w:lang w:val="lt-LT" w:eastAsia="lt-LT"/>
        </w:rPr>
        <w:sym w:font="Wingdings" w:char="F04B"/>
      </w:r>
      <w:r w:rsidRPr="00B123A3">
        <w:rPr>
          <w:lang w:val="lt-LT" w:eastAsia="lt-LT"/>
        </w:rPr>
        <w:t xml:space="preserve">  – aplinkosauginiu požiūriu padėtis nei pagerėjo, nei pablogėjo</w:t>
      </w:r>
    </w:p>
    <w:p w:rsidR="000155E1" w:rsidRPr="00B123A3" w:rsidRDefault="000155E1" w:rsidP="000155E1">
      <w:pPr>
        <w:rPr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</w:p>
    <w:p w:rsidR="000155E1" w:rsidRPr="00B123A3" w:rsidRDefault="000155E1" w:rsidP="00AF2339">
      <w:pPr>
        <w:jc w:val="center"/>
        <w:rPr>
          <w:b/>
          <w:lang w:val="lt-LT"/>
        </w:rPr>
      </w:pPr>
      <w:bookmarkStart w:id="0" w:name="_GoBack"/>
      <w:bookmarkEnd w:id="0"/>
    </w:p>
    <w:sectPr w:rsidR="000155E1" w:rsidRPr="00B123A3" w:rsidSect="00AB1838">
      <w:pgSz w:w="11906" w:h="16838"/>
      <w:pgMar w:top="1134" w:right="567" w:bottom="719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A6"/>
    <w:rsid w:val="000155E1"/>
    <w:rsid w:val="000214EA"/>
    <w:rsid w:val="0003578F"/>
    <w:rsid w:val="00045257"/>
    <w:rsid w:val="00053C36"/>
    <w:rsid w:val="00162090"/>
    <w:rsid w:val="0017754B"/>
    <w:rsid w:val="0019073B"/>
    <w:rsid w:val="001C3F1A"/>
    <w:rsid w:val="0023497C"/>
    <w:rsid w:val="00240C88"/>
    <w:rsid w:val="00280DEC"/>
    <w:rsid w:val="002F12FB"/>
    <w:rsid w:val="00304CDF"/>
    <w:rsid w:val="00325176"/>
    <w:rsid w:val="003779ED"/>
    <w:rsid w:val="003C5704"/>
    <w:rsid w:val="00402AF9"/>
    <w:rsid w:val="00435508"/>
    <w:rsid w:val="00445A9B"/>
    <w:rsid w:val="004844C5"/>
    <w:rsid w:val="00523DAF"/>
    <w:rsid w:val="00542D52"/>
    <w:rsid w:val="00620BFE"/>
    <w:rsid w:val="006224A6"/>
    <w:rsid w:val="00641E10"/>
    <w:rsid w:val="00665EDE"/>
    <w:rsid w:val="00673A5A"/>
    <w:rsid w:val="006A09EB"/>
    <w:rsid w:val="006C2082"/>
    <w:rsid w:val="006E08EE"/>
    <w:rsid w:val="006F2C6A"/>
    <w:rsid w:val="007318DA"/>
    <w:rsid w:val="00776C5C"/>
    <w:rsid w:val="00846138"/>
    <w:rsid w:val="00863B16"/>
    <w:rsid w:val="009049CA"/>
    <w:rsid w:val="0090591A"/>
    <w:rsid w:val="00917D8E"/>
    <w:rsid w:val="0097028E"/>
    <w:rsid w:val="0099236C"/>
    <w:rsid w:val="009F0289"/>
    <w:rsid w:val="009F5189"/>
    <w:rsid w:val="00A8567C"/>
    <w:rsid w:val="00AB1838"/>
    <w:rsid w:val="00AB194B"/>
    <w:rsid w:val="00AE5D89"/>
    <w:rsid w:val="00AF2339"/>
    <w:rsid w:val="00B033DA"/>
    <w:rsid w:val="00B123A3"/>
    <w:rsid w:val="00B35399"/>
    <w:rsid w:val="00B9089F"/>
    <w:rsid w:val="00BD20A9"/>
    <w:rsid w:val="00C05BA1"/>
    <w:rsid w:val="00C17894"/>
    <w:rsid w:val="00C22B72"/>
    <w:rsid w:val="00C60CDD"/>
    <w:rsid w:val="00CB40F7"/>
    <w:rsid w:val="00CB5523"/>
    <w:rsid w:val="00D31DE3"/>
    <w:rsid w:val="00D44EEF"/>
    <w:rsid w:val="00D525E2"/>
    <w:rsid w:val="00D80A55"/>
    <w:rsid w:val="00DB33FE"/>
    <w:rsid w:val="00E7597E"/>
    <w:rsid w:val="00E863F1"/>
    <w:rsid w:val="00E9098D"/>
    <w:rsid w:val="00EA36D3"/>
    <w:rsid w:val="00EC3787"/>
    <w:rsid w:val="00F0347D"/>
    <w:rsid w:val="00FE5E5E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33DA"/>
    <w:pPr>
      <w:suppressAutoHyphens/>
    </w:pPr>
    <w:rPr>
      <w:rFonts w:eastAsia="Times New Roman" w:cs="Times New Roman"/>
      <w:szCs w:val="24"/>
      <w:lang w:val="en-GB" w:eastAsia="zh-CN"/>
    </w:rPr>
  </w:style>
  <w:style w:type="paragraph" w:styleId="Antrat1">
    <w:name w:val="heading 1"/>
    <w:basedOn w:val="prastasis"/>
    <w:next w:val="prastasis"/>
    <w:link w:val="Antrat1Diagrama"/>
    <w:qFormat/>
    <w:rsid w:val="00B033DA"/>
    <w:pPr>
      <w:keepNext/>
      <w:numPr>
        <w:numId w:val="1"/>
      </w:numPr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033DA"/>
    <w:rPr>
      <w:rFonts w:eastAsia="Times New Roman" w:cs="Times New Roman"/>
      <w:b/>
      <w:bCs/>
      <w:szCs w:val="24"/>
      <w:lang w:eastAsia="zh-CN"/>
    </w:rPr>
  </w:style>
  <w:style w:type="character" w:styleId="Hipersaitas">
    <w:name w:val="Hyperlink"/>
    <w:basedOn w:val="Numatytasispastraiposriftas"/>
    <w:rsid w:val="00B033DA"/>
    <w:rPr>
      <w:color w:val="0000FF"/>
      <w:u w:val="single"/>
    </w:rPr>
  </w:style>
  <w:style w:type="character" w:styleId="Grietas">
    <w:name w:val="Strong"/>
    <w:basedOn w:val="Numatytasispastraiposriftas"/>
    <w:qFormat/>
    <w:rsid w:val="00B033DA"/>
    <w:rPr>
      <w:b/>
      <w:bCs/>
    </w:rPr>
  </w:style>
  <w:style w:type="paragraph" w:customStyle="1" w:styleId="Heading">
    <w:name w:val="Heading"/>
    <w:basedOn w:val="prastasis"/>
    <w:next w:val="Pagrindinistekstas"/>
    <w:rsid w:val="00B033DA"/>
    <w:pPr>
      <w:spacing w:line="360" w:lineRule="auto"/>
      <w:jc w:val="center"/>
    </w:pPr>
    <w:rPr>
      <w:b/>
      <w:sz w:val="28"/>
      <w:lang w:val="lt-LT"/>
    </w:rPr>
  </w:style>
  <w:style w:type="paragraph" w:styleId="Pagrindiniotekstotrauka3">
    <w:name w:val="Body Text Indent 3"/>
    <w:basedOn w:val="prastasis"/>
    <w:link w:val="Pagrindiniotekstotrauka3Diagrama"/>
    <w:rsid w:val="00B033DA"/>
    <w:pPr>
      <w:spacing w:line="360" w:lineRule="auto"/>
      <w:ind w:firstLine="720"/>
    </w:pPr>
    <w:rPr>
      <w:i/>
      <w:iCs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033DA"/>
    <w:rPr>
      <w:rFonts w:eastAsia="Times New Roman" w:cs="Times New Roman"/>
      <w:i/>
      <w:iCs/>
      <w:szCs w:val="24"/>
      <w:lang w:eastAsia="zh-CN"/>
    </w:rPr>
  </w:style>
  <w:style w:type="paragraph" w:customStyle="1" w:styleId="WW-Heading">
    <w:name w:val="WW-Heading"/>
    <w:basedOn w:val="prastasis"/>
    <w:next w:val="Pagrindinistekstas"/>
    <w:rsid w:val="00B033DA"/>
    <w:pPr>
      <w:spacing w:line="360" w:lineRule="auto"/>
      <w:jc w:val="center"/>
    </w:pPr>
    <w:rPr>
      <w:b/>
      <w:sz w:val="28"/>
      <w:lang w:val="lt-LT"/>
    </w:rPr>
  </w:style>
  <w:style w:type="paragraph" w:styleId="prastasistinklapis">
    <w:name w:val="Normal (Web)"/>
    <w:basedOn w:val="prastasis"/>
    <w:uiPriority w:val="99"/>
    <w:rsid w:val="00B033DA"/>
    <w:pPr>
      <w:spacing w:before="280" w:after="119"/>
    </w:pPr>
    <w:rPr>
      <w:lang w:val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B033D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033DA"/>
    <w:rPr>
      <w:rFonts w:eastAsia="Times New Roman" w:cs="Times New Roman"/>
      <w:szCs w:val="24"/>
      <w:lang w:val="en-GB" w:eastAsia="zh-CN"/>
    </w:rPr>
  </w:style>
  <w:style w:type="paragraph" w:customStyle="1" w:styleId="Default">
    <w:name w:val="Default"/>
    <w:rsid w:val="000214EA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Paprastasistekstas">
    <w:name w:val="Plain Text"/>
    <w:basedOn w:val="prastasis"/>
    <w:link w:val="PaprastasistekstasDiagrama"/>
    <w:semiHidden/>
    <w:unhideWhenUsed/>
    <w:rsid w:val="00B35399"/>
    <w:pPr>
      <w:suppressAutoHyphens w:val="0"/>
    </w:pPr>
    <w:rPr>
      <w:rFonts w:ascii="Consolas" w:hAnsi="Consolas"/>
      <w:sz w:val="21"/>
      <w:szCs w:val="20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B35399"/>
    <w:rPr>
      <w:rFonts w:ascii="Consolas" w:eastAsia="Times New Roman" w:hAnsi="Consolas" w:cs="Times New Roman"/>
      <w:sz w:val="21"/>
      <w:szCs w:val="20"/>
    </w:rPr>
  </w:style>
  <w:style w:type="paragraph" w:styleId="Betarp">
    <w:name w:val="No Spacing"/>
    <w:qFormat/>
    <w:rsid w:val="00846138"/>
    <w:pPr>
      <w:suppressAutoHyphens/>
      <w:spacing w:line="100" w:lineRule="atLeast"/>
    </w:pPr>
    <w:rPr>
      <w:rFonts w:eastAsia="Lucida Sans Unicode" w:cs="Mangal"/>
      <w:kern w:val="2"/>
      <w:szCs w:val="24"/>
      <w:lang w:eastAsia="hi-IN" w:bidi="hi-IN"/>
    </w:rPr>
  </w:style>
  <w:style w:type="paragraph" w:customStyle="1" w:styleId="Mazas10">
    <w:name w:val="Mazas 10"/>
    <w:basedOn w:val="prastasis"/>
    <w:qFormat/>
    <w:rsid w:val="00846138"/>
    <w:pPr>
      <w:widowControl w:val="0"/>
      <w:spacing w:after="200" w:line="100" w:lineRule="atLeast"/>
      <w:jc w:val="both"/>
    </w:pPr>
    <w:rPr>
      <w:b/>
      <w:bCs/>
      <w:iCs/>
      <w:kern w:val="2"/>
      <w:sz w:val="20"/>
      <w:lang w:val="lt-LT" w:eastAsia="hi-IN" w:bidi="hi-IN"/>
    </w:rPr>
  </w:style>
  <w:style w:type="paragraph" w:customStyle="1" w:styleId="BodyText1">
    <w:name w:val="Body Text1"/>
    <w:basedOn w:val="prastasis"/>
    <w:rsid w:val="002F12FB"/>
    <w:pPr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03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0347D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673A5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7D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7D8E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33DA"/>
    <w:pPr>
      <w:suppressAutoHyphens/>
    </w:pPr>
    <w:rPr>
      <w:rFonts w:eastAsia="Times New Roman" w:cs="Times New Roman"/>
      <w:szCs w:val="24"/>
      <w:lang w:val="en-GB" w:eastAsia="zh-CN"/>
    </w:rPr>
  </w:style>
  <w:style w:type="paragraph" w:styleId="Antrat1">
    <w:name w:val="heading 1"/>
    <w:basedOn w:val="prastasis"/>
    <w:next w:val="prastasis"/>
    <w:link w:val="Antrat1Diagrama"/>
    <w:qFormat/>
    <w:rsid w:val="00B033DA"/>
    <w:pPr>
      <w:keepNext/>
      <w:numPr>
        <w:numId w:val="1"/>
      </w:numPr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033DA"/>
    <w:rPr>
      <w:rFonts w:eastAsia="Times New Roman" w:cs="Times New Roman"/>
      <w:b/>
      <w:bCs/>
      <w:szCs w:val="24"/>
      <w:lang w:eastAsia="zh-CN"/>
    </w:rPr>
  </w:style>
  <w:style w:type="character" w:styleId="Hipersaitas">
    <w:name w:val="Hyperlink"/>
    <w:basedOn w:val="Numatytasispastraiposriftas"/>
    <w:rsid w:val="00B033DA"/>
    <w:rPr>
      <w:color w:val="0000FF"/>
      <w:u w:val="single"/>
    </w:rPr>
  </w:style>
  <w:style w:type="character" w:styleId="Grietas">
    <w:name w:val="Strong"/>
    <w:basedOn w:val="Numatytasispastraiposriftas"/>
    <w:qFormat/>
    <w:rsid w:val="00B033DA"/>
    <w:rPr>
      <w:b/>
      <w:bCs/>
    </w:rPr>
  </w:style>
  <w:style w:type="paragraph" w:customStyle="1" w:styleId="Heading">
    <w:name w:val="Heading"/>
    <w:basedOn w:val="prastasis"/>
    <w:next w:val="Pagrindinistekstas"/>
    <w:rsid w:val="00B033DA"/>
    <w:pPr>
      <w:spacing w:line="360" w:lineRule="auto"/>
      <w:jc w:val="center"/>
    </w:pPr>
    <w:rPr>
      <w:b/>
      <w:sz w:val="28"/>
      <w:lang w:val="lt-LT"/>
    </w:rPr>
  </w:style>
  <w:style w:type="paragraph" w:styleId="Pagrindiniotekstotrauka3">
    <w:name w:val="Body Text Indent 3"/>
    <w:basedOn w:val="prastasis"/>
    <w:link w:val="Pagrindiniotekstotrauka3Diagrama"/>
    <w:rsid w:val="00B033DA"/>
    <w:pPr>
      <w:spacing w:line="360" w:lineRule="auto"/>
      <w:ind w:firstLine="720"/>
    </w:pPr>
    <w:rPr>
      <w:i/>
      <w:iCs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033DA"/>
    <w:rPr>
      <w:rFonts w:eastAsia="Times New Roman" w:cs="Times New Roman"/>
      <w:i/>
      <w:iCs/>
      <w:szCs w:val="24"/>
      <w:lang w:eastAsia="zh-CN"/>
    </w:rPr>
  </w:style>
  <w:style w:type="paragraph" w:customStyle="1" w:styleId="WW-Heading">
    <w:name w:val="WW-Heading"/>
    <w:basedOn w:val="prastasis"/>
    <w:next w:val="Pagrindinistekstas"/>
    <w:rsid w:val="00B033DA"/>
    <w:pPr>
      <w:spacing w:line="360" w:lineRule="auto"/>
      <w:jc w:val="center"/>
    </w:pPr>
    <w:rPr>
      <w:b/>
      <w:sz w:val="28"/>
      <w:lang w:val="lt-LT"/>
    </w:rPr>
  </w:style>
  <w:style w:type="paragraph" w:styleId="prastasistinklapis">
    <w:name w:val="Normal (Web)"/>
    <w:basedOn w:val="prastasis"/>
    <w:uiPriority w:val="99"/>
    <w:rsid w:val="00B033DA"/>
    <w:pPr>
      <w:spacing w:before="280" w:after="119"/>
    </w:pPr>
    <w:rPr>
      <w:lang w:val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B033D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033DA"/>
    <w:rPr>
      <w:rFonts w:eastAsia="Times New Roman" w:cs="Times New Roman"/>
      <w:szCs w:val="24"/>
      <w:lang w:val="en-GB" w:eastAsia="zh-CN"/>
    </w:rPr>
  </w:style>
  <w:style w:type="paragraph" w:customStyle="1" w:styleId="Default">
    <w:name w:val="Default"/>
    <w:rsid w:val="000214EA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Paprastasistekstas">
    <w:name w:val="Plain Text"/>
    <w:basedOn w:val="prastasis"/>
    <w:link w:val="PaprastasistekstasDiagrama"/>
    <w:semiHidden/>
    <w:unhideWhenUsed/>
    <w:rsid w:val="00B35399"/>
    <w:pPr>
      <w:suppressAutoHyphens w:val="0"/>
    </w:pPr>
    <w:rPr>
      <w:rFonts w:ascii="Consolas" w:hAnsi="Consolas"/>
      <w:sz w:val="21"/>
      <w:szCs w:val="20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B35399"/>
    <w:rPr>
      <w:rFonts w:ascii="Consolas" w:eastAsia="Times New Roman" w:hAnsi="Consolas" w:cs="Times New Roman"/>
      <w:sz w:val="21"/>
      <w:szCs w:val="20"/>
    </w:rPr>
  </w:style>
  <w:style w:type="paragraph" w:styleId="Betarp">
    <w:name w:val="No Spacing"/>
    <w:qFormat/>
    <w:rsid w:val="00846138"/>
    <w:pPr>
      <w:suppressAutoHyphens/>
      <w:spacing w:line="100" w:lineRule="atLeast"/>
    </w:pPr>
    <w:rPr>
      <w:rFonts w:eastAsia="Lucida Sans Unicode" w:cs="Mangal"/>
      <w:kern w:val="2"/>
      <w:szCs w:val="24"/>
      <w:lang w:eastAsia="hi-IN" w:bidi="hi-IN"/>
    </w:rPr>
  </w:style>
  <w:style w:type="paragraph" w:customStyle="1" w:styleId="Mazas10">
    <w:name w:val="Mazas 10"/>
    <w:basedOn w:val="prastasis"/>
    <w:qFormat/>
    <w:rsid w:val="00846138"/>
    <w:pPr>
      <w:widowControl w:val="0"/>
      <w:spacing w:after="200" w:line="100" w:lineRule="atLeast"/>
      <w:jc w:val="both"/>
    </w:pPr>
    <w:rPr>
      <w:b/>
      <w:bCs/>
      <w:iCs/>
      <w:kern w:val="2"/>
      <w:sz w:val="20"/>
      <w:lang w:val="lt-LT" w:eastAsia="hi-IN" w:bidi="hi-IN"/>
    </w:rPr>
  </w:style>
  <w:style w:type="paragraph" w:customStyle="1" w:styleId="BodyText1">
    <w:name w:val="Body Text1"/>
    <w:basedOn w:val="prastasis"/>
    <w:rsid w:val="002F12FB"/>
    <w:pPr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03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0347D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673A5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7D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7D8E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urgita\Documents\Prane&#353;imai\B&#363;kles%20diagramo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'Antru planu ezerai'!$A$2</c:f>
              <c:strCache>
                <c:ptCount val="1"/>
                <c:pt idx="0">
                  <c:v>Labai gera ekologinė būklė</c:v>
                </c:pt>
              </c:strCache>
            </c:strRef>
          </c:tx>
          <c:spPr>
            <a:solidFill>
              <a:srgbClr val="0066FF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'Antru planu ezerai'!$B$2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'Antru planu ezerai'!$A$3</c:f>
              <c:strCache>
                <c:ptCount val="1"/>
                <c:pt idx="0">
                  <c:v>Gera ekologinė būklė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val>
            <c:numRef>
              <c:f>'Antru planu ezerai'!$B$3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'Antru planu ezerai'!$A$4</c:f>
              <c:strCache>
                <c:ptCount val="1"/>
                <c:pt idx="0">
                  <c:v>Vidutinė ekologinė būklė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val>
            <c:numRef>
              <c:f>'Antru planu ezerai'!$B$4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3"/>
          <c:order val="3"/>
          <c:tx>
            <c:strRef>
              <c:f>'Antru planu ezerai'!$A$5</c:f>
              <c:strCache>
                <c:ptCount val="1"/>
                <c:pt idx="0">
                  <c:v>Bloga ekologinė būklė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val>
            <c:numRef>
              <c:f>'Antru planu ezerai'!$B$5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'Antru planu ezerai'!$A$6</c:f>
              <c:strCache>
                <c:ptCount val="1"/>
                <c:pt idx="0">
                  <c:v>Labai bloga ekologinė būklė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'Antru planu ezerai'!$B$6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5183872"/>
        <c:axId val="71781760"/>
      </c:barChart>
      <c:catAx>
        <c:axId val="6151838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1781760"/>
        <c:crosses val="autoZero"/>
        <c:auto val="1"/>
        <c:lblAlgn val="ctr"/>
        <c:lblOffset val="100"/>
        <c:noMultiLvlLbl val="0"/>
      </c:catAx>
      <c:valAx>
        <c:axId val="71781760"/>
        <c:scaling>
          <c:orientation val="minMax"/>
          <c:max val="60"/>
          <c:min val="0"/>
        </c:scaling>
        <c:delete val="0"/>
        <c:axPos val="l"/>
        <c:majorGridlines>
          <c:spPr>
            <a:ln>
              <a:solidFill>
                <a:schemeClr val="tx1">
                  <a:alpha val="5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Procentai</a:t>
                </a:r>
                <a:endParaRPr lang="lt-LT"/>
              </a:p>
            </c:rich>
          </c:tx>
          <c:layout>
            <c:manualLayout>
              <c:xMode val="edge"/>
              <c:yMode val="edge"/>
              <c:x val="2.5000000000000001E-2"/>
              <c:y val="0.401946267133275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15183872"/>
        <c:crosses val="autoZero"/>
        <c:crossBetween val="between"/>
        <c:majorUnit val="10"/>
      </c:valAx>
      <c:spPr>
        <a:ln cap="sq">
          <a:solidFill>
            <a:schemeClr val="tx1"/>
          </a:solidFill>
          <a:miter lim="800000"/>
        </a:ln>
      </c:spPr>
    </c:plotArea>
    <c:legend>
      <c:legendPos val="r"/>
      <c:layout>
        <c:manualLayout>
          <c:xMode val="edge"/>
          <c:yMode val="edge"/>
          <c:x val="0.63888888888888884"/>
          <c:y val="5.3252405949256343E-2"/>
          <c:w val="0.34166666666666667"/>
          <c:h val="0.89812481773111696"/>
        </c:manualLayout>
      </c:layout>
      <c:overlay val="0"/>
      <c:spPr>
        <a:noFill/>
        <a:ln>
          <a:solidFill>
            <a:schemeClr val="tx1"/>
          </a:solidFill>
        </a:ln>
      </c:sp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6494-9084-4647-A368-5E305459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Liutkevičius</dc:creator>
  <cp:lastModifiedBy>Jurgita Stankevičienė</cp:lastModifiedBy>
  <cp:revision>3</cp:revision>
  <dcterms:created xsi:type="dcterms:W3CDTF">2016-04-19T12:50:00Z</dcterms:created>
  <dcterms:modified xsi:type="dcterms:W3CDTF">2016-04-19T12:51:00Z</dcterms:modified>
</cp:coreProperties>
</file>